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广发中证智选高股息策略交易型开放式指数证券投资基金发起式联接基金（广发中证智选高股息策略ETF发起式联接C）基金产品资料概要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2025年10月24日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2025年11月3日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广发中证智选高股息策略ETF发起式联接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025682</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广发中证智选高股息策略ETF发起式联接C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025683</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上海浦东发展银行股份有限公司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吕鑫</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2016-07-11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	</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本基金通过主要投资于目标ETF，紧密跟踪业绩比较基准，追求跟踪偏离度和跟踪误差最小化。</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以目标ETF基金份额、标的指数成份股及备选成份股（含存托凭证）为主要投资对象。此外，为更好地实现投资目标，本基金可少量投资于非成份股（包括科创板、创业板及其他国内依法发行上市的股票、存托凭证）、债券、债券回购、资产支持证券、银行存款、同业存单、货币市场工具、金融衍生工具（包括股指期货、国债期货、股票期权等）以及法律法规或中国证监会允许本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本基金的目标ETF为广发中证智选高股息策略交易型开放式指数证券投资基金。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本基金可根据相关法律法规的规定参与转融通证券出借及融资业务。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且不低于非现金基金资产的80%；每个交易日日终在扣除股指期货合约、国债期货合约、股票期权合约需缴纳的交易保证金后，现金及到期日在一年以内的政府债券的比例合计不低于基金资产净值的5%，现金不包括结算备付金、存出保证金、应收申购款等。股指期货、国债期货、股票期权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通过投资于目标ETF实现对业绩比较基准的紧密跟踪。本基金力争将本基金净值增长率与业绩比较基准之间的日均跟踪偏离度的绝对值控制在0.35%以内，年化跟踪误差控制在4%以内。具体包括：</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中证智选高股息策略指数收益率×95%+银行活期存款利率（税后）×5%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本基金为ETF联接基金，风险与收益高于混合型基金、债券型基金与货币市场基金。本基金为指数型基金，具有与标的指数、以及标的指数所代表的股票市场相似的风险收益特征。</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注：详见《广发中证智选高股息策略交易型开放式指数证券投资基金发起式联接基金招募说明书》及其更新文件中“基金的投资”。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0.30%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1）标的指数回报与目标股票市场平均回报偏离的风险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7）标的指数变更的风险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8）指数编制机构停止服务的风险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9）标的指数值计算出错的风险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（3）投资股指期货的风险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（4）投资国债期货的风险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（7）参与转融通证券出借业务风险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（8）投资股票期权的风险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（9）参与融资业务风险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10）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（11）基金分红特殊安排的风险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（1）《广发中证智选高股息策略交易型开放式指数证券投资基金发起式联接基金基金合同》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（2）《广发中证智选高股息策略交易型开放式指数证券投资基金发起式联接基金托管协议》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（3）《广发中证智选高股息策略交易型开放式指数证券投资基金发起式联接基金招募说明书》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